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68" w:rsidRPr="00883B71" w:rsidRDefault="00AE0068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i/>
          <w:sz w:val="40"/>
          <w:szCs w:val="40"/>
        </w:rPr>
      </w:pPr>
      <w:bookmarkStart w:id="0" w:name="_GoBack"/>
      <w:bookmarkEnd w:id="0"/>
      <w:r w:rsidRPr="00883B71">
        <w:rPr>
          <w:rFonts w:ascii="BrandonTextW01-Light" w:hAnsi="BrandonTextW01-Light" w:cs="BrandonTextW01-Light"/>
          <w:i/>
          <w:sz w:val="40"/>
          <w:szCs w:val="40"/>
        </w:rPr>
        <w:t>EDIFICIO MAZARÍ. Barrio del Molinillo, Málaga</w:t>
      </w:r>
    </w:p>
    <w:p w:rsidR="00AE0068" w:rsidRDefault="00AE0068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i/>
          <w:sz w:val="21"/>
          <w:szCs w:val="21"/>
        </w:rPr>
      </w:pPr>
    </w:p>
    <w:p w:rsidR="00AE0068" w:rsidRPr="00E7425A" w:rsidRDefault="00AE0068" w:rsidP="00AE0068">
      <w:pPr>
        <w:pBdr>
          <w:bottom w:val="single" w:sz="4" w:space="1" w:color="auto"/>
        </w:pBdr>
        <w:jc w:val="both"/>
        <w:rPr>
          <w:rFonts w:ascii="BrandonTextW01-Light" w:hAnsi="BrandonTextW01-Light"/>
          <w:b/>
        </w:rPr>
      </w:pPr>
      <w:r w:rsidRPr="00E7425A">
        <w:rPr>
          <w:rFonts w:ascii="BrandonTextW01-Light" w:hAnsi="BrandonTextW01-Light"/>
          <w:b/>
        </w:rPr>
        <w:t>FICHA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5"/>
        <w:gridCol w:w="4359"/>
      </w:tblGrid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NOMBRE PROYECTO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EDIFICIO ‘MAZARÍ’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CATEGORÍA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Edificio residencial de 7 viviendas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SITUACIÓN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Calle Duque de Rivas, 48 29013 Málaga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Barrio del Molinillo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FINALIZACIÓN OBRAS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Septiembre de 2024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PROMOTOR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 xml:space="preserve">Miguel </w:t>
            </w:r>
            <w:proofErr w:type="spellStart"/>
            <w:r w:rsidRPr="00E7425A">
              <w:rPr>
                <w:rFonts w:ascii="BrandonTextW01-Light" w:hAnsi="BrandonTextW01-Light"/>
              </w:rPr>
              <w:t>Gomez</w:t>
            </w:r>
            <w:proofErr w:type="spellEnd"/>
            <w:r w:rsidRPr="00E7425A">
              <w:rPr>
                <w:rFonts w:ascii="BrandonTextW01-Light" w:hAnsi="BrandonTextW01-Light"/>
              </w:rPr>
              <w:t xml:space="preserve"> Márquez S.L.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PROYECTO Y DIRECCIÓN DE OBRAS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 xml:space="preserve">Endosdedos arquitectura 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(María Martín</w:t>
            </w:r>
            <w:r>
              <w:rPr>
                <w:rFonts w:ascii="BrandonTextW01-Light" w:hAnsi="BrandonTextW01-Light"/>
              </w:rPr>
              <w:t xml:space="preserve"> Sánchez</w:t>
            </w:r>
            <w:r w:rsidRPr="00E7425A">
              <w:rPr>
                <w:rFonts w:ascii="BrandonTextW01-Light" w:hAnsi="BrandonTextW01-Light"/>
              </w:rPr>
              <w:t xml:space="preserve"> y </w:t>
            </w:r>
            <w:proofErr w:type="spellStart"/>
            <w:r w:rsidRPr="00E7425A">
              <w:rPr>
                <w:rFonts w:ascii="BrandonTextW01-Light" w:hAnsi="BrandonTextW01-Light"/>
              </w:rPr>
              <w:t>Fco</w:t>
            </w:r>
            <w:proofErr w:type="spellEnd"/>
            <w:r w:rsidRPr="00E7425A">
              <w:rPr>
                <w:rFonts w:ascii="BrandonTextW01-Light" w:hAnsi="BrandonTextW01-Light"/>
              </w:rPr>
              <w:t>. Padilla</w:t>
            </w:r>
            <w:r>
              <w:rPr>
                <w:rFonts w:ascii="BrandonTextW01-Light" w:hAnsi="BrandonTextW01-Light"/>
              </w:rPr>
              <w:t xml:space="preserve"> Durán</w:t>
            </w:r>
            <w:r w:rsidRPr="00E7425A">
              <w:rPr>
                <w:rFonts w:ascii="BrandonTextW01-Light" w:hAnsi="BrandonTextW01-Light"/>
              </w:rPr>
              <w:t>, arquitectos)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www.arquitecturaendosdedos.es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DIRECCIÓN DE EJECUCIÓN Y COORD. SEG Y SALUD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 xml:space="preserve">María Vargas García, </w:t>
            </w:r>
            <w:proofErr w:type="spellStart"/>
            <w:r>
              <w:rPr>
                <w:rFonts w:ascii="BrandonTextW01-Light" w:hAnsi="BrandonTextW01-Light"/>
              </w:rPr>
              <w:t>arq.</w:t>
            </w:r>
            <w:proofErr w:type="spellEnd"/>
            <w:r>
              <w:rPr>
                <w:rFonts w:ascii="BrandonTextW01-Light" w:hAnsi="BrandonTextW01-Light"/>
              </w:rPr>
              <w:t xml:space="preserve"> t</w:t>
            </w:r>
            <w:r w:rsidRPr="00E7425A">
              <w:rPr>
                <w:rFonts w:ascii="BrandonTextW01-Light" w:hAnsi="BrandonTextW01-Light"/>
              </w:rPr>
              <w:t>écnica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FOTOGRAFÍAS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>
              <w:rPr>
                <w:rFonts w:ascii="BrandonTextW01-Light" w:hAnsi="BrandonTextW01-Light"/>
              </w:rPr>
              <w:t>Loveladrillo</w:t>
            </w:r>
            <w:proofErr w:type="spellEnd"/>
            <w:r>
              <w:rPr>
                <w:rFonts w:ascii="BrandonTextW01-Light" w:hAnsi="BrandonTextW01-Light"/>
              </w:rPr>
              <w:t>. Fernando Gómez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F85B14">
              <w:rPr>
                <w:rFonts w:ascii="BrandonTextW01-Light" w:hAnsi="BrandonTextW01-Light"/>
              </w:rPr>
              <w:t>https://loveladrillo.com/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</w:p>
        </w:tc>
      </w:tr>
      <w:tr w:rsidR="00AE0068" w:rsidRPr="00E7425A" w:rsidTr="00090E06">
        <w:tc>
          <w:tcPr>
            <w:tcW w:w="8494" w:type="dxa"/>
            <w:gridSpan w:val="2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OBRA</w:t>
            </w:r>
          </w:p>
        </w:tc>
      </w:tr>
      <w:tr w:rsidR="00AE0068" w:rsidRPr="00E7425A" w:rsidTr="00090E06">
        <w:tc>
          <w:tcPr>
            <w:tcW w:w="8494" w:type="dxa"/>
            <w:gridSpan w:val="2"/>
          </w:tcPr>
          <w:p w:rsidR="00AE0068" w:rsidRDefault="00AE0068" w:rsidP="00AE0068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La obra tiene la particularidad de que la Dirección de Obras ha realizado también las contrataciones de obra y coordinación de los oficios y acopios al no haber una constructora principal, con las dificultades que ello conlleva. Esto ha sido posible gracias al buen entendimiento del promotor y a la cercanía de la oficina técnica de endosdedos a las obras, situadas a apenas 50 m.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</w:p>
        </w:tc>
      </w:tr>
      <w:tr w:rsidR="00AE0068" w:rsidRPr="00E7425A" w:rsidTr="00AE0068">
        <w:tc>
          <w:tcPr>
            <w:tcW w:w="4135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DEMOLICIONES PREVIAS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FT demoliciones</w:t>
            </w:r>
          </w:p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AE0068">
              <w:rPr>
                <w:rFonts w:ascii="BrandonTextW01-Light" w:hAnsi="BrandonTextW01-Light"/>
              </w:rPr>
              <w:t>https://www.franciscoternero.com/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MEJORA DEL TERRENO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Sistema MIXPILE de MIXAN</w:t>
            </w:r>
          </w:p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AE0068">
              <w:rPr>
                <w:rFonts w:ascii="BrandonTextW01-Light" w:hAnsi="BrandonTextW01-Light"/>
              </w:rPr>
              <w:t>https://www.mixan.es/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ALBAÑILERÍA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Construcciones Adrián García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FONTANERÍA, SANEAMIENTO, CLIMATIZACIÓN Y VENTILACIÓN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 xml:space="preserve">Grupo </w:t>
            </w:r>
            <w:proofErr w:type="spellStart"/>
            <w:r w:rsidRPr="00E7425A">
              <w:rPr>
                <w:rFonts w:ascii="BrandonTextW01-Light" w:hAnsi="BrandonTextW01-Light"/>
              </w:rPr>
              <w:t>Kinito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https://www.instalacioneskinito.com/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ELECTRICIDAD Y</w:t>
            </w:r>
            <w:r w:rsidRPr="00E7425A">
              <w:rPr>
                <w:rFonts w:ascii="BrandonTextW01-Light" w:hAnsi="BrandonTextW01-Light"/>
              </w:rPr>
              <w:t xml:space="preserve"> TELECOMUNICACIONES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 w:rsidRPr="00E7425A">
              <w:rPr>
                <w:rFonts w:ascii="BrandonTextW01-Light" w:hAnsi="BrandonTextW01-Light"/>
              </w:rPr>
              <w:t>Decolec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https://decolec.es/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Default="00AE0068" w:rsidP="00621C8A">
            <w:pPr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AISLAMIENTOS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>
              <w:rPr>
                <w:rFonts w:ascii="BrandonTextW01-Light" w:hAnsi="BrandonTextW01-Light"/>
              </w:rPr>
              <w:t>Knauff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AE0068">
              <w:rPr>
                <w:rFonts w:ascii="BrandonTextW01-Light" w:hAnsi="BrandonTextW01-Light"/>
              </w:rPr>
              <w:t>https://knauf.com/es-ES/knauf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PAVIMENTOS CERÁMICOS Y ALICATADOS LOCALES HÚMEDOS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 w:rsidRPr="00E7425A">
              <w:rPr>
                <w:rFonts w:ascii="BrandonTextW01-Light" w:hAnsi="BrandonTextW01-Light"/>
              </w:rPr>
              <w:t>Saloni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https://saloni.com/es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SOLADOS DE TERRAZO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Terrazos Fortuna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https://www.terrazosfortuna.com/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PREFABRICADOS HORMIGÓN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>
              <w:rPr>
                <w:rFonts w:ascii="BrandonTextW01-Light" w:hAnsi="BrandonTextW01-Light"/>
              </w:rPr>
              <w:t>Pavigesa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https://pavigesa.com/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CERÁMICOS DECORATIVOS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 xml:space="preserve">Cerámica </w:t>
            </w:r>
            <w:proofErr w:type="spellStart"/>
            <w:r w:rsidRPr="00E7425A">
              <w:rPr>
                <w:rFonts w:ascii="BrandonTextW01-Light" w:hAnsi="BrandonTextW01-Light"/>
              </w:rPr>
              <w:t>Ferrés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https://ceramicaferres.com/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ELEVACIÓN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Ascensores Otis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https://www.otis.com/es/es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lastRenderedPageBreak/>
              <w:t xml:space="preserve">CARPINTERÍAS EXTERIORES 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 w:rsidRPr="00E7425A">
              <w:rPr>
                <w:rFonts w:ascii="BrandonTextW01-Light" w:hAnsi="BrandonTextW01-Light"/>
              </w:rPr>
              <w:t>Forjaroda</w:t>
            </w:r>
            <w:proofErr w:type="spellEnd"/>
            <w:r w:rsidRPr="00E7425A">
              <w:rPr>
                <w:rFonts w:ascii="BrandonTextW01-Light" w:hAnsi="BrandonTextW01-Light"/>
              </w:rPr>
              <w:t xml:space="preserve"> 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 xml:space="preserve">(Sistema </w:t>
            </w:r>
            <w:proofErr w:type="spellStart"/>
            <w:r w:rsidRPr="00E7425A">
              <w:rPr>
                <w:rFonts w:ascii="BrandonTextW01-Light" w:hAnsi="BrandonTextW01-Light"/>
              </w:rPr>
              <w:t>Cortizo</w:t>
            </w:r>
            <w:proofErr w:type="spellEnd"/>
            <w:r w:rsidRPr="00E7425A">
              <w:rPr>
                <w:rFonts w:ascii="BrandonTextW01-Light" w:hAnsi="BrandonTextW01-Light"/>
              </w:rPr>
              <w:t>. https://www.cortizo.com/)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MORTEROS DE CAL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proofErr w:type="spellStart"/>
            <w:r w:rsidRPr="00E7425A">
              <w:rPr>
                <w:rFonts w:ascii="BrandonTextW01-Light" w:hAnsi="BrandonTextW01-Light"/>
              </w:rPr>
              <w:t>Cumen</w:t>
            </w:r>
            <w:proofErr w:type="spellEnd"/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https://morterosdecal.com/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PERSIANAS ALICANTINAS</w:t>
            </w:r>
          </w:p>
        </w:tc>
        <w:tc>
          <w:tcPr>
            <w:tcW w:w="4359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Persianas Hija de Campos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https://www.persianashijadeacampos.es/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ILUMINACIÓN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Faro Barcelona</w:t>
            </w:r>
          </w:p>
          <w:p w:rsidR="00AE0068" w:rsidRPr="00E7425A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E7425A">
              <w:rPr>
                <w:rFonts w:ascii="BrandonTextW01-Light" w:hAnsi="BrandonTextW01-Light"/>
              </w:rPr>
              <w:t>https://faro.es/es/</w:t>
            </w:r>
          </w:p>
        </w:tc>
      </w:tr>
      <w:tr w:rsidR="00AE0068" w:rsidRPr="00E7425A" w:rsidTr="00AE0068">
        <w:tc>
          <w:tcPr>
            <w:tcW w:w="4135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PINTURAS Y ESMALTES</w:t>
            </w:r>
          </w:p>
        </w:tc>
        <w:tc>
          <w:tcPr>
            <w:tcW w:w="4359" w:type="dxa"/>
          </w:tcPr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>
              <w:rPr>
                <w:rFonts w:ascii="BrandonTextW01-Light" w:hAnsi="BrandonTextW01-Light"/>
              </w:rPr>
              <w:t>Pinturas y Decoraciones Dani</w:t>
            </w:r>
          </w:p>
          <w:p w:rsidR="00AE0068" w:rsidRDefault="00AE0068" w:rsidP="00621C8A">
            <w:pPr>
              <w:jc w:val="both"/>
              <w:rPr>
                <w:rFonts w:ascii="BrandonTextW01-Light" w:hAnsi="BrandonTextW01-Light"/>
              </w:rPr>
            </w:pPr>
            <w:r w:rsidRPr="006D6EC4">
              <w:rPr>
                <w:rFonts w:ascii="BrandonTextW01-Light" w:hAnsi="BrandonTextW01-Light"/>
              </w:rPr>
              <w:t>https://www.pinturasydecoracionesdany.es/</w:t>
            </w:r>
          </w:p>
        </w:tc>
      </w:tr>
    </w:tbl>
    <w:p w:rsidR="00AE0068" w:rsidRDefault="00AE0068" w:rsidP="00AE0068">
      <w:pPr>
        <w:jc w:val="both"/>
        <w:rPr>
          <w:rFonts w:ascii="BrandonTextW01-Light" w:hAnsi="BrandonTextW01-Light"/>
        </w:rPr>
      </w:pPr>
    </w:p>
    <w:p w:rsidR="00AE0068" w:rsidRPr="00AE0068" w:rsidRDefault="00AE0068" w:rsidP="00AE0068">
      <w:pPr>
        <w:pBdr>
          <w:bottom w:val="single" w:sz="4" w:space="1" w:color="auto"/>
        </w:pBdr>
        <w:jc w:val="both"/>
        <w:rPr>
          <w:rFonts w:ascii="BrandonTextW01-Light" w:hAnsi="BrandonTextW01-Light"/>
          <w:b/>
        </w:rPr>
      </w:pPr>
      <w:r w:rsidRPr="00AE0068">
        <w:rPr>
          <w:rFonts w:ascii="BrandonTextW01-Light" w:hAnsi="BrandonTextW01-Light"/>
          <w:b/>
        </w:rPr>
        <w:t>DESCRIPCIÓN DEL PROYECTO</w:t>
      </w:r>
    </w:p>
    <w:p w:rsidR="00F12785" w:rsidRPr="00AE0068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i/>
          <w:sz w:val="21"/>
          <w:szCs w:val="21"/>
        </w:rPr>
      </w:pPr>
      <w:r w:rsidRPr="00AE0068">
        <w:rPr>
          <w:rFonts w:ascii="BrandonTextW01-Light" w:hAnsi="BrandonTextW01-Light" w:cs="BrandonTextW01-Light"/>
          <w:i/>
          <w:sz w:val="21"/>
          <w:szCs w:val="21"/>
        </w:rPr>
        <w:t>Se conoce como 'Mazarí' tanto al material cerámico obtenido como al horno artesanal en el que se fabrica y cuya lenta  cocción se llega a extender hasta una semana.</w:t>
      </w:r>
    </w:p>
    <w:p w:rsidR="00C348DF" w:rsidRPr="00AE0068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i/>
          <w:sz w:val="21"/>
          <w:szCs w:val="21"/>
        </w:rPr>
      </w:pPr>
      <w:r w:rsidRPr="00AE0068">
        <w:rPr>
          <w:rFonts w:ascii="BrandonTextW01-Light" w:hAnsi="BrandonTextW01-Light" w:cs="BrandonTextW01-Light"/>
          <w:i/>
          <w:sz w:val="21"/>
          <w:szCs w:val="21"/>
        </w:rPr>
        <w:t>El municipio malagueño de Vélez-Málaga, reconocido como 'zona de interés artesanal' por la Junta de Andalucía, mantiene 14 de estos tejares históricos cuya tradición se remonta más allá del siglo XVI y cuyos ladrillos mazaríes se siguen produciendo como entonces.</w:t>
      </w:r>
    </w:p>
    <w:p w:rsidR="004B668C" w:rsidRDefault="004B668C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</w:p>
    <w:p w:rsidR="00F12785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  <w:r>
        <w:rPr>
          <w:rFonts w:ascii="BrandonTextW01-Light" w:hAnsi="BrandonTextW01-Light" w:cs="BrandonTextW01-Light"/>
          <w:sz w:val="20"/>
          <w:szCs w:val="20"/>
        </w:rPr>
        <w:t xml:space="preserve">La parcela se encuentra situada en una zona de crecimiento de la ciudad histórica hacia el norte, en el barrio del Molinillo, antiguo arrabal de huertas conventuales y alquerías medievales con presencia de arroyos y aliviaderos. A finales del siglo XIX toda el área es urbanizada mediante una retícula ortogonal </w:t>
      </w:r>
      <w:r w:rsidR="00AE0068">
        <w:rPr>
          <w:rFonts w:ascii="BrandonTextW01-Light" w:hAnsi="BrandonTextW01-Light" w:cs="BrandonTextW01-Light"/>
          <w:sz w:val="20"/>
          <w:szCs w:val="20"/>
        </w:rPr>
        <w:t>de</w:t>
      </w:r>
      <w:r>
        <w:rPr>
          <w:rFonts w:ascii="BrandonTextW01-Light" w:hAnsi="BrandonTextW01-Light" w:cs="BrandonTextW01-Light"/>
          <w:sz w:val="20"/>
          <w:szCs w:val="20"/>
        </w:rPr>
        <w:t xml:space="preserve"> viviendas unifamiliares y casas de vecinos agrupadas en torno a un patio central. Las manzanas resultantes, algunas de gran dimensión, se </w:t>
      </w:r>
      <w:r w:rsidR="00AE0068">
        <w:rPr>
          <w:rFonts w:ascii="BrandonTextW01-Light" w:hAnsi="BrandonTextW01-Light" w:cs="BrandonTextW01-Light"/>
          <w:sz w:val="20"/>
          <w:szCs w:val="20"/>
        </w:rPr>
        <w:t xml:space="preserve">concentran </w:t>
      </w:r>
      <w:r>
        <w:rPr>
          <w:rFonts w:ascii="BrandonTextW01-Light" w:hAnsi="BrandonTextW01-Light" w:cs="BrandonTextW01-Light"/>
          <w:sz w:val="20"/>
          <w:szCs w:val="20"/>
        </w:rPr>
        <w:t>en torno a un espacio libre central al que se abren los patios interiores de las viviendas generando, al interior, una segunda fachada.</w:t>
      </w:r>
    </w:p>
    <w:p w:rsidR="004B668C" w:rsidRDefault="004B668C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</w:p>
    <w:p w:rsidR="00F12785" w:rsidRPr="00AE0068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  <w:r>
        <w:rPr>
          <w:rFonts w:ascii="BrandonTextW01-Light" w:hAnsi="BrandonTextW01-Light" w:cs="BrandonTextW01-Light"/>
          <w:sz w:val="20"/>
          <w:szCs w:val="20"/>
        </w:rPr>
        <w:t xml:space="preserve">Las normas urbanísticas impedían un aprovechamiento mayor de la parcela al establecer una profundidad límite de edificación de 15 metros. Ese espacio baldío es transformado en un pequeño </w:t>
      </w:r>
      <w:r w:rsidRPr="00AE0068">
        <w:rPr>
          <w:rFonts w:ascii="BrandonTextW01-Light" w:hAnsi="BrandonTextW01-Light" w:cs="BrandonTextW01-Light"/>
          <w:sz w:val="20"/>
          <w:szCs w:val="20"/>
        </w:rPr>
        <w:t>jardín interior y recogido, cuyos precedentes –vestigios de la construcción original- son visibles en los muros de cantería de las medianerías existentes.</w:t>
      </w:r>
    </w:p>
    <w:p w:rsidR="004B668C" w:rsidRPr="00AE0068" w:rsidRDefault="004B668C" w:rsidP="004B668C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  <w:r w:rsidRPr="00AE0068">
        <w:rPr>
          <w:rFonts w:ascii="BrandonTextW01-Light" w:hAnsi="BrandonTextW01-Light" w:cs="BrandonTextW01-Light"/>
          <w:sz w:val="21"/>
          <w:szCs w:val="21"/>
        </w:rPr>
        <w:t xml:space="preserve">El edificio se distribuye en cuatro niveles albergando, además de las zonas comunes, </w:t>
      </w:r>
      <w:r w:rsidR="00AE0068" w:rsidRPr="00AE0068">
        <w:rPr>
          <w:rFonts w:ascii="BrandonTextW01-Light" w:hAnsi="BrandonTextW01-Light" w:cs="BrandonTextW01-Light"/>
          <w:sz w:val="21"/>
          <w:szCs w:val="21"/>
        </w:rPr>
        <w:t xml:space="preserve">7 viviendas y una zona común en planta de cubierta equipada con </w:t>
      </w:r>
      <w:r w:rsidRPr="00AE0068">
        <w:rPr>
          <w:rFonts w:ascii="BrandonTextW01-Light" w:hAnsi="BrandonTextW01-Light" w:cs="BrandonTextW01-Light"/>
          <w:sz w:val="21"/>
          <w:szCs w:val="21"/>
        </w:rPr>
        <w:t xml:space="preserve">solarium </w:t>
      </w:r>
      <w:r w:rsidR="00AE0068" w:rsidRPr="00AE0068">
        <w:rPr>
          <w:rFonts w:ascii="BrandonTextW01-Light" w:hAnsi="BrandonTextW01-Light" w:cs="BrandonTextW01-Light"/>
          <w:sz w:val="21"/>
          <w:szCs w:val="21"/>
        </w:rPr>
        <w:t>y</w:t>
      </w:r>
      <w:r w:rsidRPr="00AE0068">
        <w:rPr>
          <w:rFonts w:ascii="BrandonTextW01-Light" w:hAnsi="BrandonTextW01-Light" w:cs="BrandonTextW01-Light"/>
          <w:sz w:val="21"/>
          <w:szCs w:val="21"/>
        </w:rPr>
        <w:t xml:space="preserve"> una pequeña </w:t>
      </w:r>
      <w:r w:rsidR="00AE0068" w:rsidRPr="00AE0068">
        <w:rPr>
          <w:rFonts w:ascii="BrandonTextW01-Light" w:hAnsi="BrandonTextW01-Light" w:cs="BrandonTextW01-Light"/>
          <w:sz w:val="21"/>
          <w:szCs w:val="21"/>
        </w:rPr>
        <w:t>alberca</w:t>
      </w:r>
      <w:r w:rsidRPr="00AE0068">
        <w:rPr>
          <w:rFonts w:ascii="BrandonTextW01-Light" w:hAnsi="BrandonTextW01-Light" w:cs="BrandonTextW01-Light"/>
          <w:sz w:val="21"/>
          <w:szCs w:val="21"/>
        </w:rPr>
        <w:t>.</w:t>
      </w:r>
    </w:p>
    <w:p w:rsidR="004B668C" w:rsidRPr="00AE0068" w:rsidRDefault="004B668C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</w:p>
    <w:p w:rsidR="00F12785" w:rsidRPr="00AE0068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  <w:r w:rsidRPr="00AE0068">
        <w:rPr>
          <w:rFonts w:ascii="BrandonTextW01-Light" w:hAnsi="BrandonTextW01-Light" w:cs="BrandonTextW01-Light"/>
          <w:sz w:val="21"/>
          <w:szCs w:val="21"/>
        </w:rPr>
        <w:t xml:space="preserve">En su diseño y composición, la fachada principal pretende conectar visualmente con otros hitos de la zona construidos en el mismo material y en el que el ladrillo fue trabajado con una fuerte plasticidad: el Mercado de Salamanca, situado muy cerca, y las casas de la Avenida de la Rosaleda 3 y 4, del arquitecto Daniel Rubio o la antigua Casa de Socorro, de Guerrero- </w:t>
      </w:r>
      <w:proofErr w:type="spellStart"/>
      <w:r w:rsidRPr="00AE0068">
        <w:rPr>
          <w:rFonts w:ascii="BrandonTextW01-Light" w:hAnsi="BrandonTextW01-Light" w:cs="BrandonTextW01-Light"/>
          <w:sz w:val="21"/>
          <w:szCs w:val="21"/>
        </w:rPr>
        <w:t>Strachan</w:t>
      </w:r>
      <w:proofErr w:type="spellEnd"/>
      <w:r w:rsidRPr="00AE0068">
        <w:rPr>
          <w:rFonts w:ascii="BrandonTextW01-Light" w:hAnsi="BrandonTextW01-Light" w:cs="BrandonTextW01-Light"/>
          <w:sz w:val="21"/>
          <w:szCs w:val="21"/>
        </w:rPr>
        <w:t xml:space="preserve">, todas de principios del siglo XX. Esa imagen </w:t>
      </w:r>
      <w:proofErr w:type="spellStart"/>
      <w:r w:rsidRPr="00AE0068">
        <w:rPr>
          <w:rFonts w:ascii="BrandonTextW01-Light" w:hAnsi="BrandonTextW01-Light" w:cs="BrandonTextW01-Light"/>
          <w:sz w:val="21"/>
          <w:szCs w:val="21"/>
        </w:rPr>
        <w:t>neomudéjar</w:t>
      </w:r>
      <w:proofErr w:type="spellEnd"/>
      <w:r w:rsidRPr="00AE0068">
        <w:rPr>
          <w:rFonts w:ascii="BrandonTextW01-Light" w:hAnsi="BrandonTextW01-Light" w:cs="BrandonTextW01-Light"/>
          <w:sz w:val="21"/>
          <w:szCs w:val="21"/>
        </w:rPr>
        <w:t xml:space="preserve"> caracteriza el barrio en fechas tempranas del siglo XX atendiendo al boom de la Exposición Iberoamericana de Sevilla de 1929. Su lectura es aún visible.</w:t>
      </w:r>
    </w:p>
    <w:p w:rsidR="00F12785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  <w:r>
        <w:rPr>
          <w:rFonts w:ascii="BrandonTextW01-Light" w:hAnsi="BrandonTextW01-Light" w:cs="BrandonTextW01-Light"/>
          <w:sz w:val="20"/>
          <w:szCs w:val="20"/>
        </w:rPr>
        <w:t xml:space="preserve">La imagen exterior e interior del edificio se define mediante el empleo de material cerámico en múltiples formatos y acabados. La fachada principal se resuelve en fábrica de ladrillo macizo </w:t>
      </w:r>
      <w:proofErr w:type="spellStart"/>
      <w:r>
        <w:rPr>
          <w:rFonts w:ascii="BrandonTextW01-Light" w:hAnsi="BrandonTextW01-Light" w:cs="BrandonTextW01-Light"/>
          <w:sz w:val="20"/>
          <w:szCs w:val="20"/>
        </w:rPr>
        <w:t>destonificado</w:t>
      </w:r>
      <w:proofErr w:type="spellEnd"/>
      <w:r>
        <w:rPr>
          <w:rFonts w:ascii="BrandonTextW01-Light" w:hAnsi="BrandonTextW01-Light" w:cs="BrandonTextW01-Light"/>
          <w:sz w:val="20"/>
          <w:szCs w:val="20"/>
        </w:rPr>
        <w:t xml:space="preserve"> procedente de los alfares de Vélez-Málaga, marcándose con un </w:t>
      </w:r>
      <w:proofErr w:type="spellStart"/>
      <w:r>
        <w:rPr>
          <w:rFonts w:ascii="BrandonTextW01-Light" w:hAnsi="BrandonTextW01-Light" w:cs="BrandonTextW01-Light"/>
          <w:sz w:val="20"/>
          <w:szCs w:val="20"/>
        </w:rPr>
        <w:t>llagueado</w:t>
      </w:r>
      <w:proofErr w:type="spellEnd"/>
      <w:r>
        <w:rPr>
          <w:rFonts w:ascii="BrandonTextW01-Light" w:hAnsi="BrandonTextW01-Light" w:cs="BrandonTextW01-Light"/>
          <w:sz w:val="20"/>
          <w:szCs w:val="20"/>
        </w:rPr>
        <w:t xml:space="preserve"> horizontal en mortero de cal. La fachada está modulada en función del formato del ladrillo y de la celosía cerámica </w:t>
      </w:r>
      <w:proofErr w:type="spellStart"/>
      <w:r>
        <w:rPr>
          <w:rFonts w:ascii="BrandonTextW01-Light" w:hAnsi="BrandonTextW01-Light" w:cs="BrandonTextW01-Light"/>
          <w:sz w:val="20"/>
          <w:szCs w:val="20"/>
        </w:rPr>
        <w:t>cuadradada</w:t>
      </w:r>
      <w:proofErr w:type="spellEnd"/>
      <w:r>
        <w:rPr>
          <w:rFonts w:ascii="BrandonTextW01-Light" w:hAnsi="BrandonTextW01-Light" w:cs="BrandonTextW01-Light"/>
          <w:sz w:val="20"/>
          <w:szCs w:val="20"/>
        </w:rPr>
        <w:t xml:space="preserve"> empleada, de 15 x 15 x 7 cm, los cuales definen dimensiones de balconeras y protecciones solares. Estas últimas se fabrican con bastidores metálicos en los que se alojan las celosías cerámicas, siendo móviles a lo largo de las galerías sobre las que se apoyan.</w:t>
      </w:r>
    </w:p>
    <w:p w:rsidR="00F12785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  <w:r>
        <w:rPr>
          <w:rFonts w:ascii="BrandonTextW01-Light" w:hAnsi="BrandonTextW01-Light" w:cs="BrandonTextW01-Light"/>
          <w:sz w:val="20"/>
          <w:szCs w:val="20"/>
        </w:rPr>
        <w:t xml:space="preserve">La fachada trasera se torna totalmente diferente, resolviéndose con una trama aparentemente desordenada de huecos y macizos –eco de las fachadas autoconstruidas del entorno- con </w:t>
      </w:r>
      <w:r>
        <w:rPr>
          <w:rFonts w:ascii="BrandonTextW01-Light" w:hAnsi="BrandonTextW01-Light" w:cs="BrandonTextW01-Light"/>
          <w:sz w:val="20"/>
          <w:szCs w:val="20"/>
        </w:rPr>
        <w:lastRenderedPageBreak/>
        <w:t>carpinterías de color cerámico sobre un lienzo acabado con mortero de cal romano natural. Su imagen es mediterránea y festiva, generando un telón de fondo contemplativo para el patio-jardín.</w:t>
      </w:r>
    </w:p>
    <w:p w:rsidR="004B668C" w:rsidRDefault="004B668C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</w:p>
    <w:p w:rsidR="00F12785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0"/>
          <w:szCs w:val="20"/>
        </w:rPr>
      </w:pPr>
      <w:r>
        <w:rPr>
          <w:rFonts w:ascii="BrandonTextW01-Light" w:hAnsi="BrandonTextW01-Light" w:cs="BrandonTextW01-Light"/>
          <w:sz w:val="20"/>
          <w:szCs w:val="20"/>
        </w:rPr>
        <w:t xml:space="preserve">Al interior, los alicatados cerámicos </w:t>
      </w:r>
      <w:proofErr w:type="spellStart"/>
      <w:r>
        <w:rPr>
          <w:rFonts w:ascii="BrandonTextW01-Light" w:hAnsi="BrandonTextW01-Light" w:cs="BrandonTextW01-Light"/>
          <w:sz w:val="20"/>
          <w:szCs w:val="20"/>
        </w:rPr>
        <w:t>grecados</w:t>
      </w:r>
      <w:proofErr w:type="spellEnd"/>
      <w:r>
        <w:rPr>
          <w:rFonts w:ascii="BrandonTextW01-Light" w:hAnsi="BrandonTextW01-Light" w:cs="BrandonTextW01-Light"/>
          <w:sz w:val="20"/>
          <w:szCs w:val="20"/>
        </w:rPr>
        <w:t xml:space="preserve"> en colores naturales, ocres y azules en contraste con la solería de terrazo, muy habitual en las viviendas de la zona y la cerrajería de barandillas, sencilla y funcional, se completa con el uso de carpinterías en roble que aportan calidez y se complementan bien con el cromatismo global empleado.</w:t>
      </w:r>
    </w:p>
    <w:p w:rsidR="004B668C" w:rsidRDefault="004B668C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color w:val="DD0064"/>
          <w:sz w:val="21"/>
          <w:szCs w:val="21"/>
        </w:rPr>
      </w:pPr>
    </w:p>
    <w:p w:rsidR="00F12785" w:rsidRDefault="00F12785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  <w:r w:rsidRPr="00AE0068">
        <w:rPr>
          <w:rFonts w:ascii="BrandonTextW01-Light" w:hAnsi="BrandonTextW01-Light" w:cs="BrandonTextW01-Light"/>
          <w:sz w:val="21"/>
          <w:szCs w:val="21"/>
        </w:rPr>
        <w:t>La elevada presión urbanística de la ciudad alcanza también a este distrito. La convivencia entre diferentes culturas y rentas comienza a verse afectada por la entrada de nuevos propietarios de mayor poder adquisitivo que están adquiriendo las pequeñas casas existentes -para rehabilitarlas y usarlas para uso propio o destinarlas a la actividad turística en el mayor de los casos- está generando un problema añadido, que ya es general en la ciudad, al encarecer los precios y confiar en la imagen globalizada del ‘</w:t>
      </w:r>
      <w:proofErr w:type="spellStart"/>
      <w:r w:rsidRPr="00AE0068">
        <w:rPr>
          <w:rFonts w:ascii="BrandonTextW01-Light" w:hAnsi="BrandonTextW01-Light" w:cs="BrandonTextW01-Light"/>
          <w:sz w:val="21"/>
          <w:szCs w:val="21"/>
        </w:rPr>
        <w:t>airbnb</w:t>
      </w:r>
      <w:proofErr w:type="spellEnd"/>
      <w:r w:rsidRPr="00AE0068">
        <w:rPr>
          <w:rFonts w:ascii="BrandonTextW01-Light" w:hAnsi="BrandonTextW01-Light" w:cs="BrandonTextW01-Light"/>
          <w:sz w:val="21"/>
          <w:szCs w:val="21"/>
        </w:rPr>
        <w:t>’ la reforma de estas casas que está despersonalizando y alterando el carácter de 'barrio' en su más amplia definición. Dado que el parcelario se ha visto muy alterado con el paso de las años debido entre otros, a la autoconstrucción, el edificio pretende integrarse a la vez que servir de referente visual para un barrio de marcado ambiente vecinal en el que, poco a poco, los residentes comienzan a sentirse enajenados de su entorno al perder las referencias e hitos visuales de su pasado.</w:t>
      </w:r>
    </w:p>
    <w:p w:rsidR="00883B71" w:rsidRDefault="00883B71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</w:p>
    <w:p w:rsidR="00883B71" w:rsidRPr="00883B71" w:rsidRDefault="00883B71" w:rsidP="00883B71">
      <w:pPr>
        <w:pBdr>
          <w:bottom w:val="single" w:sz="4" w:space="1" w:color="auto"/>
        </w:pBdr>
        <w:jc w:val="both"/>
        <w:rPr>
          <w:rFonts w:ascii="BrandonTextW01-Light" w:hAnsi="BrandonTextW01-Light"/>
          <w:b/>
        </w:rPr>
      </w:pPr>
      <w:r w:rsidRPr="00883B71">
        <w:rPr>
          <w:rFonts w:ascii="BrandonTextW01-Light" w:hAnsi="BrandonTextW01-Light"/>
          <w:b/>
        </w:rPr>
        <w:t>ENDOSDEDOS. BIO</w:t>
      </w:r>
    </w:p>
    <w:p w:rsidR="00AE0068" w:rsidRDefault="00AE0068" w:rsidP="00F12785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</w:p>
    <w:p w:rsidR="00AE0068" w:rsidRDefault="00AE0068" w:rsidP="00AE0068">
      <w:pPr>
        <w:jc w:val="both"/>
        <w:rPr>
          <w:rFonts w:ascii="BrandonTextW01-Light" w:hAnsi="BrandonTextW01-Light"/>
        </w:rPr>
      </w:pPr>
      <w:r w:rsidRPr="00DE35B1">
        <w:rPr>
          <w:rFonts w:ascii="BrandonTextW01-Light" w:hAnsi="BrandonTextW01-Light"/>
        </w:rPr>
        <w:t xml:space="preserve">Endosdedos </w:t>
      </w:r>
      <w:r>
        <w:rPr>
          <w:rFonts w:ascii="BrandonTextW01-Light" w:hAnsi="BrandonTextW01-Light"/>
        </w:rPr>
        <w:t xml:space="preserve">arquitectura </w:t>
      </w:r>
      <w:r w:rsidRPr="00DE35B1">
        <w:rPr>
          <w:rFonts w:ascii="BrandonTextW01-Light" w:hAnsi="BrandonTextW01-Light"/>
        </w:rPr>
        <w:t xml:space="preserve">está compuesto </w:t>
      </w:r>
      <w:r>
        <w:rPr>
          <w:rFonts w:ascii="BrandonTextW01-Light" w:hAnsi="BrandonTextW01-Light"/>
        </w:rPr>
        <w:t>María Martín y Francisco Padilla, arquitectos por la ETSAG desde el 2005.</w:t>
      </w:r>
    </w:p>
    <w:p w:rsidR="00AE0068" w:rsidRDefault="00AE0068" w:rsidP="00AE0068">
      <w:pPr>
        <w:jc w:val="both"/>
        <w:rPr>
          <w:rFonts w:ascii="BrandonTextW01-Light" w:hAnsi="BrandonTextW01-Light"/>
        </w:rPr>
      </w:pPr>
      <w:r>
        <w:rPr>
          <w:rFonts w:ascii="BrandonTextW01-Light" w:hAnsi="BrandonTextW01-Light"/>
        </w:rPr>
        <w:t xml:space="preserve">Su labor parte de </w:t>
      </w:r>
      <w:r w:rsidRPr="00DE35B1">
        <w:rPr>
          <w:rFonts w:ascii="BrandonTextW01-Light" w:hAnsi="BrandonTextW01-Light"/>
        </w:rPr>
        <w:t>una forma de entender la Arquitectura</w:t>
      </w:r>
      <w:r>
        <w:rPr>
          <w:rFonts w:ascii="BrandonTextW01-Light" w:hAnsi="BrandonTextW01-Light"/>
        </w:rPr>
        <w:t xml:space="preserve"> desde la Ética y el respeto por la profesión</w:t>
      </w:r>
      <w:r w:rsidRPr="00DE35B1">
        <w:rPr>
          <w:rFonts w:ascii="BrandonTextW01-Light" w:hAnsi="BrandonTextW01-Light"/>
        </w:rPr>
        <w:t xml:space="preserve">. En el estudio, en funcionamiento desde el año 2007, </w:t>
      </w:r>
      <w:r>
        <w:rPr>
          <w:rFonts w:ascii="BrandonTextW01-Light" w:hAnsi="BrandonTextW01-Light"/>
        </w:rPr>
        <w:t>se desarrolla</w:t>
      </w:r>
      <w:r w:rsidRPr="00DE35B1">
        <w:rPr>
          <w:rFonts w:ascii="BrandonTextW01-Light" w:hAnsi="BrandonTextW01-Light"/>
        </w:rPr>
        <w:t xml:space="preserve"> una </w:t>
      </w:r>
      <w:r w:rsidRPr="00DE35B1">
        <w:rPr>
          <w:rFonts w:ascii="BrandonTextW01-Light" w:hAnsi="BrandonTextW01-Light"/>
          <w:b/>
          <w:bCs/>
        </w:rPr>
        <w:t>arquitectura contemporánea</w:t>
      </w:r>
      <w:r w:rsidRPr="00943396">
        <w:rPr>
          <w:rFonts w:ascii="BrandonTextW01-Light" w:hAnsi="BrandonTextW01-Light"/>
          <w:b/>
          <w:bCs/>
        </w:rPr>
        <w:t> </w:t>
      </w:r>
      <w:r w:rsidRPr="00943396">
        <w:rPr>
          <w:rFonts w:ascii="BrandonTextW01-Light" w:hAnsi="BrandonTextW01-Light"/>
          <w:b/>
        </w:rPr>
        <w:t>implicada</w:t>
      </w:r>
      <w:r w:rsidRPr="00DE35B1">
        <w:rPr>
          <w:rFonts w:ascii="BrandonTextW01-Light" w:hAnsi="BrandonTextW01-Light"/>
        </w:rPr>
        <w:t xml:space="preserve"> con el entorno, </w:t>
      </w:r>
      <w:r w:rsidRPr="00943396">
        <w:rPr>
          <w:rFonts w:ascii="BrandonTextW01-Light" w:hAnsi="BrandonTextW01-Light"/>
          <w:b/>
        </w:rPr>
        <w:t>con las personas</w:t>
      </w:r>
      <w:r w:rsidRPr="00DE35B1">
        <w:rPr>
          <w:rFonts w:ascii="BrandonTextW01-Light" w:hAnsi="BrandonTextW01-Light"/>
        </w:rPr>
        <w:t>, concienciada con la Naturaleza </w:t>
      </w:r>
      <w:r w:rsidRPr="00DE35B1">
        <w:rPr>
          <w:rFonts w:ascii="BrandonTextW01-Light" w:hAnsi="BrandonTextW01-Light"/>
          <w:b/>
          <w:bCs/>
        </w:rPr>
        <w:t xml:space="preserve">y </w:t>
      </w:r>
      <w:r>
        <w:rPr>
          <w:rFonts w:ascii="BrandonTextW01-Light" w:hAnsi="BrandonTextW01-Light"/>
          <w:b/>
          <w:bCs/>
        </w:rPr>
        <w:t xml:space="preserve">con </w:t>
      </w:r>
      <w:r w:rsidRPr="00DE35B1">
        <w:rPr>
          <w:rFonts w:ascii="BrandonTextW01-Light" w:hAnsi="BrandonTextW01-Light"/>
          <w:b/>
          <w:bCs/>
        </w:rPr>
        <w:t>la Accesibilidad Universal. </w:t>
      </w:r>
      <w:proofErr w:type="spellStart"/>
      <w:r>
        <w:rPr>
          <w:rFonts w:ascii="BrandonTextW01-Light" w:hAnsi="BrandonTextW01-Light"/>
          <w:bCs/>
        </w:rPr>
        <w:t>Confíaando</w:t>
      </w:r>
      <w:proofErr w:type="spellEnd"/>
      <w:r>
        <w:rPr>
          <w:rFonts w:ascii="BrandonTextW01-Light" w:hAnsi="BrandonTextW01-Light"/>
          <w:bCs/>
        </w:rPr>
        <w:t xml:space="preserve"> sin fisuras</w:t>
      </w:r>
      <w:r w:rsidRPr="00940626">
        <w:rPr>
          <w:rFonts w:ascii="BrandonTextW01-Light" w:hAnsi="BrandonTextW01-Light"/>
          <w:bCs/>
        </w:rPr>
        <w:t xml:space="preserve"> en el poder transformador de la Arquitectura.</w:t>
      </w:r>
      <w:r>
        <w:rPr>
          <w:rFonts w:ascii="BrandonTextW01-Light" w:hAnsi="BrandonTextW01-Light"/>
          <w:b/>
          <w:bCs/>
        </w:rPr>
        <w:t xml:space="preserve"> </w:t>
      </w:r>
      <w:r>
        <w:rPr>
          <w:rFonts w:ascii="BrandonTextW01-Light" w:hAnsi="BrandonTextW01-Light"/>
        </w:rPr>
        <w:t>Sus</w:t>
      </w:r>
      <w:r w:rsidRPr="00DE35B1">
        <w:rPr>
          <w:rFonts w:ascii="BrandonTextW01-Light" w:hAnsi="BrandonTextW01-Light"/>
        </w:rPr>
        <w:t xml:space="preserve"> proyectos no persiguen un estilo concreto ni un formalismo proclive a las tendencias pasajeras, se basa</w:t>
      </w:r>
      <w:r>
        <w:rPr>
          <w:rFonts w:ascii="BrandonTextW01-Light" w:hAnsi="BrandonTextW01-Light"/>
        </w:rPr>
        <w:t>n</w:t>
      </w:r>
      <w:r w:rsidRPr="00DE35B1">
        <w:rPr>
          <w:rFonts w:ascii="BrandonTextW01-Light" w:hAnsi="BrandonTextW01-Light"/>
        </w:rPr>
        <w:t xml:space="preserve"> más bien en el ejercicio libre de un aprendizaje constante. </w:t>
      </w:r>
    </w:p>
    <w:p w:rsidR="00AE0068" w:rsidRDefault="00AE0068" w:rsidP="00AE0068">
      <w:pPr>
        <w:jc w:val="both"/>
        <w:rPr>
          <w:rFonts w:ascii="BrandonTextW01-Light" w:hAnsi="BrandonTextW01-Light"/>
        </w:rPr>
      </w:pPr>
      <w:r>
        <w:rPr>
          <w:rFonts w:ascii="BrandonTextW01-Light" w:hAnsi="BrandonTextW01-Light"/>
        </w:rPr>
        <w:t xml:space="preserve">Siempre han mantenido un marcado carácter social, así en la mejora de la vivienda para colectivos en riesgo de exclusión social o en los espacios de atención a personas vulnerables o con necesidades especiales, colaborando con Cruz Roja, ONCE, Arrabal-AID, Junta de Andalucía o Ayuntamiento de Málaga, entre otros. </w:t>
      </w:r>
    </w:p>
    <w:p w:rsidR="00AE0068" w:rsidRDefault="00AE0068" w:rsidP="00AE0068">
      <w:pPr>
        <w:jc w:val="both"/>
        <w:rPr>
          <w:rFonts w:ascii="BrandonTextW01-Light" w:hAnsi="BrandonTextW01-Light"/>
        </w:rPr>
      </w:pPr>
      <w:r>
        <w:rPr>
          <w:rFonts w:ascii="BrandonTextW01-Light" w:hAnsi="BrandonTextW01-Light"/>
        </w:rPr>
        <w:t xml:space="preserve">La calidad de los edificios o espacios públicos no está reñida con el empleo comedido de los recursos económicos, </w:t>
      </w:r>
      <w:proofErr w:type="spellStart"/>
      <w:r>
        <w:rPr>
          <w:rFonts w:ascii="BrandonTextW01-Light" w:hAnsi="BrandonTextW01-Light"/>
        </w:rPr>
        <w:t>defediendo</w:t>
      </w:r>
      <w:proofErr w:type="spellEnd"/>
      <w:r>
        <w:rPr>
          <w:rFonts w:ascii="BrandonTextW01-Light" w:hAnsi="BrandonTextW01-Light"/>
        </w:rPr>
        <w:t xml:space="preserve"> la dignidad de la arquitectura para el usuario.</w:t>
      </w:r>
    </w:p>
    <w:p w:rsidR="00AE0068" w:rsidRDefault="00AE0068" w:rsidP="00AE0068">
      <w:pPr>
        <w:jc w:val="both"/>
        <w:rPr>
          <w:rFonts w:ascii="BrandonTextW01-Light" w:hAnsi="BrandonTextW01-Light"/>
        </w:rPr>
      </w:pPr>
      <w:r>
        <w:rPr>
          <w:rFonts w:ascii="BrandonTextW01-Light" w:hAnsi="BrandonTextW01-Light"/>
        </w:rPr>
        <w:t>Destacados:</w:t>
      </w:r>
    </w:p>
    <w:p w:rsidR="00AE0068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</w:rPr>
      </w:pPr>
      <w:r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‘EDIT’. SHOWROOM DE INNOVACIÓN Y TECNOLOGÍA DE MÁLAGA. </w:t>
      </w:r>
      <w:r w:rsidRPr="00940626">
        <w:rPr>
          <w:rFonts w:ascii="BrandonTextW01-Light" w:hAnsi="BrandonTextW01-Light"/>
          <w:bCs/>
          <w:color w:val="333333"/>
          <w:sz w:val="20"/>
          <w:szCs w:val="20"/>
        </w:rPr>
        <w:t>2024-.</w:t>
      </w:r>
      <w:r>
        <w:rPr>
          <w:rFonts w:ascii="BrandonTextW01-Light" w:hAnsi="BrandonTextW01-Light"/>
        </w:rPr>
        <w:t xml:space="preserve"> </w:t>
      </w:r>
    </w:p>
    <w:p w:rsidR="00AE0068" w:rsidRPr="0094062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</w:rPr>
      </w:pPr>
      <w:r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‘METAG’. MUESTRA ETNOGRÁFICA DE ALCALÁ DE LOS GAZULES, CÁDIZ. </w:t>
      </w:r>
      <w:r w:rsidRPr="00940626">
        <w:rPr>
          <w:rFonts w:ascii="BrandonTextW01-Light" w:hAnsi="BrandonTextW01-Light"/>
          <w:bCs/>
          <w:color w:val="333333"/>
          <w:sz w:val="20"/>
          <w:szCs w:val="20"/>
        </w:rPr>
        <w:t>2023-</w:t>
      </w:r>
      <w:r>
        <w:rPr>
          <w:rFonts w:ascii="BrandonTextW01-Light" w:hAnsi="BrandonTextW01-Light"/>
          <w:b/>
          <w:bCs/>
          <w:color w:val="333333"/>
          <w:sz w:val="20"/>
          <w:szCs w:val="20"/>
        </w:rPr>
        <w:t>.</w:t>
      </w:r>
    </w:p>
    <w:p w:rsidR="00AE0068" w:rsidRPr="0094339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</w:rPr>
      </w:pPr>
      <w:r w:rsidRPr="00940626"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EDIFICIO ‘MAZARI’. </w:t>
      </w:r>
      <w:r w:rsidRPr="00940626">
        <w:rPr>
          <w:rFonts w:ascii="BrandonTextW01-Light" w:hAnsi="BrandonTextW01-Light"/>
          <w:bCs/>
          <w:color w:val="333333"/>
          <w:sz w:val="20"/>
          <w:szCs w:val="20"/>
        </w:rPr>
        <w:t xml:space="preserve">2024. </w:t>
      </w:r>
      <w:r>
        <w:rPr>
          <w:rFonts w:ascii="BrandonTextW01-Light" w:hAnsi="BrandonTextW01-Light"/>
          <w:bCs/>
          <w:color w:val="333333"/>
          <w:sz w:val="20"/>
          <w:szCs w:val="20"/>
        </w:rPr>
        <w:t>Málaga.</w:t>
      </w:r>
    </w:p>
    <w:p w:rsidR="00AE0068" w:rsidRPr="0094062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i/>
          <w:color w:val="2F5496" w:themeColor="accent5" w:themeShade="BF"/>
          <w:sz w:val="20"/>
          <w:szCs w:val="20"/>
        </w:rPr>
      </w:pPr>
      <w:r w:rsidRPr="00940626">
        <w:rPr>
          <w:rFonts w:ascii="BrandonTextW01-Light" w:hAnsi="BrandonTextW01-Light"/>
          <w:b/>
          <w:bCs/>
          <w:color w:val="333333"/>
          <w:sz w:val="20"/>
          <w:szCs w:val="20"/>
        </w:rPr>
        <w:t>SEDE DE CRUZ ROJA EN MÁLAGA.</w:t>
      </w:r>
      <w:r w:rsidRPr="00940626">
        <w:rPr>
          <w:rFonts w:ascii="BrandonTextW01-Light" w:hAnsi="BrandonTextW01-Light"/>
          <w:bCs/>
          <w:color w:val="333333"/>
          <w:sz w:val="20"/>
          <w:szCs w:val="20"/>
        </w:rPr>
        <w:t xml:space="preserve"> 2021. </w:t>
      </w:r>
      <w:r w:rsidRPr="00940626">
        <w:rPr>
          <w:rFonts w:ascii="BrandonTextW01-Light" w:hAnsi="BrandonTextW01-Light"/>
          <w:bCs/>
          <w:i/>
          <w:color w:val="2F5496" w:themeColor="accent5" w:themeShade="BF"/>
          <w:sz w:val="20"/>
          <w:szCs w:val="20"/>
        </w:rPr>
        <w:t>PREMIO MÁLAGA DE ARQUITECTURA 2022.</w:t>
      </w:r>
    </w:p>
    <w:p w:rsidR="00AE0068" w:rsidRPr="00817755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color w:val="333333"/>
          <w:sz w:val="20"/>
          <w:szCs w:val="20"/>
        </w:rPr>
      </w:pPr>
      <w:r w:rsidRPr="00817755">
        <w:rPr>
          <w:rFonts w:ascii="BrandonTextW01-Light" w:hAnsi="BrandonTextW01-Light"/>
          <w:b/>
          <w:bCs/>
          <w:color w:val="333333"/>
          <w:sz w:val="20"/>
          <w:szCs w:val="20"/>
        </w:rPr>
        <w:t>CENTRO DE TRANSFORMACIÓN SOCIAL ARRABAL-AID. ‘LA DEFENSA’.</w:t>
      </w:r>
      <w:r>
        <w:rPr>
          <w:rFonts w:ascii="BrandonTextW01-Light" w:hAnsi="BrandonTextW01-Light"/>
          <w:bCs/>
          <w:color w:val="333333"/>
          <w:sz w:val="20"/>
          <w:szCs w:val="20"/>
        </w:rPr>
        <w:t xml:space="preserve"> 2024. Málaga.</w:t>
      </w:r>
    </w:p>
    <w:p w:rsidR="00AE0068" w:rsidRPr="00817755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color w:val="333333"/>
          <w:sz w:val="20"/>
          <w:szCs w:val="20"/>
        </w:rPr>
      </w:pPr>
      <w:r>
        <w:rPr>
          <w:rFonts w:ascii="BrandonTextW01-Light" w:hAnsi="BrandonTextW01-Light"/>
          <w:bCs/>
          <w:color w:val="333333"/>
          <w:sz w:val="20"/>
          <w:szCs w:val="20"/>
        </w:rPr>
        <w:t xml:space="preserve">Adecuación y equipamiento de </w:t>
      </w: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>CO</w:t>
      </w:r>
      <w:r>
        <w:rPr>
          <w:rFonts w:ascii="BrandonTextW01-Light" w:hAnsi="BrandonTextW01-Light"/>
          <w:b/>
          <w:bCs/>
          <w:color w:val="333333"/>
          <w:sz w:val="20"/>
          <w:szCs w:val="20"/>
        </w:rPr>
        <w:t>-</w:t>
      </w: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WORKING DIGITAL </w:t>
      </w:r>
      <w:r>
        <w:rPr>
          <w:rFonts w:ascii="BrandonTextW01-Light" w:hAnsi="BrandonTextW01-Light"/>
          <w:b/>
          <w:bCs/>
          <w:color w:val="333333"/>
          <w:sz w:val="20"/>
          <w:szCs w:val="20"/>
        </w:rPr>
        <w:t>EN</w:t>
      </w: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 LA CÁMARA DE COMERCIO DE MÁLAGA</w:t>
      </w:r>
      <w:r w:rsidRPr="00943396">
        <w:rPr>
          <w:rFonts w:ascii="BrandonTextW01-Light" w:hAnsi="BrandonTextW01-Light"/>
          <w:bCs/>
          <w:color w:val="333333"/>
          <w:sz w:val="20"/>
          <w:szCs w:val="20"/>
        </w:rPr>
        <w:t>. 2024.</w:t>
      </w:r>
      <w:r>
        <w:rPr>
          <w:rFonts w:ascii="BrandonTextW01-Light" w:hAnsi="BrandonTextW01-Light"/>
          <w:bCs/>
          <w:color w:val="333333"/>
          <w:sz w:val="20"/>
          <w:szCs w:val="20"/>
        </w:rPr>
        <w:t xml:space="preserve"> </w:t>
      </w:r>
    </w:p>
    <w:p w:rsidR="00AE0068" w:rsidRPr="0094339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i/>
          <w:color w:val="2F5496" w:themeColor="accent5" w:themeShade="BF"/>
          <w:sz w:val="20"/>
          <w:szCs w:val="20"/>
        </w:rPr>
      </w:pP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lastRenderedPageBreak/>
        <w:t>NUEVO CO-WORKING DIGITAL EN EL METAVERSO</w:t>
      </w:r>
      <w:r>
        <w:rPr>
          <w:rFonts w:ascii="BrandonTextW01-Light" w:hAnsi="BrandonTextW01-Light"/>
          <w:bCs/>
          <w:color w:val="333333"/>
          <w:sz w:val="20"/>
          <w:szCs w:val="20"/>
        </w:rPr>
        <w:t>. Segunda</w:t>
      </w:r>
      <w:r w:rsidRPr="00943396">
        <w:rPr>
          <w:rFonts w:ascii="BrandonTextW01-Light" w:hAnsi="BrandonTextW01-Light"/>
          <w:bCs/>
          <w:color w:val="333333"/>
          <w:sz w:val="20"/>
          <w:szCs w:val="20"/>
        </w:rPr>
        <w:t xml:space="preserve"> fase del Polo de Contenidos Digitales de Málaga. 2024. </w:t>
      </w:r>
    </w:p>
    <w:p w:rsidR="00AE0068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color w:val="333333"/>
          <w:sz w:val="20"/>
          <w:szCs w:val="20"/>
        </w:rPr>
      </w:pP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CENTRO DE INNOVACIÓN SOCIAL Y DIGITAL DE BENARRABÁ. </w:t>
      </w:r>
      <w:r w:rsidRPr="00943396">
        <w:rPr>
          <w:rFonts w:ascii="BrandonTextW01-Light" w:hAnsi="BrandonTextW01-Light"/>
          <w:bCs/>
          <w:color w:val="333333"/>
          <w:sz w:val="20"/>
          <w:szCs w:val="20"/>
        </w:rPr>
        <w:t xml:space="preserve">2021. </w:t>
      </w:r>
      <w:proofErr w:type="spellStart"/>
      <w:r w:rsidRPr="00943396">
        <w:rPr>
          <w:rFonts w:ascii="BrandonTextW01-Light" w:hAnsi="BrandonTextW01-Light"/>
          <w:bCs/>
          <w:color w:val="333333"/>
          <w:sz w:val="20"/>
          <w:szCs w:val="20"/>
        </w:rPr>
        <w:t>Benarrabá</w:t>
      </w:r>
      <w:proofErr w:type="spellEnd"/>
      <w:r w:rsidRPr="00943396">
        <w:rPr>
          <w:rFonts w:ascii="BrandonTextW01-Light" w:hAnsi="BrandonTextW01-Light"/>
          <w:bCs/>
          <w:color w:val="333333"/>
          <w:sz w:val="20"/>
          <w:szCs w:val="20"/>
        </w:rPr>
        <w:t xml:space="preserve"> (Málaga). </w:t>
      </w:r>
    </w:p>
    <w:p w:rsidR="00AE0068" w:rsidRPr="0094339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/>
          <w:bCs/>
          <w:color w:val="2F5496" w:themeColor="accent5" w:themeShade="BF"/>
          <w:sz w:val="20"/>
          <w:szCs w:val="20"/>
        </w:rPr>
      </w:pP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>SEDE DE CRUZ ROJA EN CEUTA</w:t>
      </w:r>
      <w:r w:rsidRPr="00943396">
        <w:rPr>
          <w:rFonts w:ascii="BrandonTextW01-Light" w:hAnsi="BrandonTextW01-Light"/>
          <w:bCs/>
          <w:color w:val="333333"/>
          <w:sz w:val="20"/>
          <w:szCs w:val="20"/>
        </w:rPr>
        <w:t xml:space="preserve">. 2020. </w:t>
      </w:r>
      <w:r w:rsidRPr="00B63FAF">
        <w:rPr>
          <w:rFonts w:ascii="BrandonTextW01-Light" w:hAnsi="BrandonTextW01-Light"/>
          <w:bCs/>
          <w:i/>
          <w:color w:val="2F5496" w:themeColor="accent5" w:themeShade="BF"/>
          <w:sz w:val="20"/>
          <w:szCs w:val="20"/>
        </w:rPr>
        <w:t>SELECCIONADO EN LOS PREMIOS ARCHDAILY INTERNACIONAL 2022.</w:t>
      </w:r>
    </w:p>
    <w:p w:rsidR="00AE0068" w:rsidRPr="0094339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color w:val="333333"/>
          <w:sz w:val="20"/>
          <w:szCs w:val="20"/>
        </w:rPr>
      </w:pP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>SEDE DE CRUZ ROJA EN VÉLEZ-MÁLAGA.</w:t>
      </w:r>
      <w:r w:rsidRPr="00943396">
        <w:rPr>
          <w:rFonts w:ascii="BrandonTextW01-Light" w:hAnsi="BrandonTextW01-Light"/>
          <w:bCs/>
          <w:color w:val="333333"/>
          <w:sz w:val="20"/>
          <w:szCs w:val="20"/>
        </w:rPr>
        <w:t xml:space="preserve"> 2017</w:t>
      </w:r>
    </w:p>
    <w:p w:rsidR="00AE0068" w:rsidRPr="00943396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Cs/>
          <w:color w:val="333333"/>
          <w:sz w:val="20"/>
          <w:szCs w:val="20"/>
        </w:rPr>
      </w:pP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>POLO DE CONTENIDOS DIGITALES DE MÁLAGA.</w:t>
      </w:r>
      <w:r w:rsidRPr="00943396">
        <w:rPr>
          <w:rFonts w:ascii="BrandonTextW01-Light" w:hAnsi="BrandonTextW01-Light"/>
          <w:bCs/>
          <w:color w:val="333333"/>
          <w:sz w:val="20"/>
          <w:szCs w:val="20"/>
        </w:rPr>
        <w:t xml:space="preserve"> 2015. </w:t>
      </w:r>
    </w:p>
    <w:p w:rsidR="00AE0068" w:rsidRDefault="00AE0068" w:rsidP="00AE0068">
      <w:pPr>
        <w:pStyle w:val="Prrafodelista"/>
        <w:numPr>
          <w:ilvl w:val="0"/>
          <w:numId w:val="1"/>
        </w:numPr>
        <w:rPr>
          <w:rFonts w:ascii="BrandonTextW01-Light" w:hAnsi="BrandonTextW01-Light"/>
          <w:b/>
          <w:bCs/>
          <w:color w:val="333333"/>
          <w:sz w:val="20"/>
          <w:szCs w:val="20"/>
        </w:rPr>
      </w:pPr>
      <w:r w:rsidRPr="00943396">
        <w:rPr>
          <w:rFonts w:ascii="BrandonTextW01-Light" w:hAnsi="BrandonTextW01-Light"/>
          <w:b/>
          <w:bCs/>
          <w:color w:val="333333"/>
          <w:sz w:val="20"/>
          <w:szCs w:val="20"/>
        </w:rPr>
        <w:t xml:space="preserve">PLAN DE ACCESIBILIDAD UNIVERSAL DE MÁLAGA. </w:t>
      </w:r>
      <w:r w:rsidRPr="00BC7D0F">
        <w:rPr>
          <w:rFonts w:ascii="BrandonTextW01-Light" w:hAnsi="BrandonTextW01-Light"/>
          <w:bCs/>
          <w:color w:val="333333"/>
          <w:sz w:val="20"/>
          <w:szCs w:val="20"/>
        </w:rPr>
        <w:t>2010</w:t>
      </w:r>
    </w:p>
    <w:p w:rsidR="00AE0068" w:rsidRDefault="00AE0068" w:rsidP="00AE0068"/>
    <w:p w:rsidR="00AE0068" w:rsidRPr="00AE0068" w:rsidRDefault="00AE0068" w:rsidP="00AE0068">
      <w:pPr>
        <w:pBdr>
          <w:bottom w:val="single" w:sz="4" w:space="1" w:color="auto"/>
        </w:pBdr>
        <w:jc w:val="both"/>
        <w:rPr>
          <w:rFonts w:ascii="BrandonTextW01-Light" w:hAnsi="BrandonTextW01-Light"/>
          <w:b/>
        </w:rPr>
      </w:pPr>
      <w:r w:rsidRPr="00AE0068">
        <w:rPr>
          <w:rFonts w:ascii="BrandonTextW01-Light" w:hAnsi="BrandonTextW01-Light"/>
          <w:b/>
        </w:rPr>
        <w:t>PARA CONTEXTUALIZAR (no es parte de la descripción del edificio)</w:t>
      </w:r>
    </w:p>
    <w:p w:rsidR="00AE0068" w:rsidRPr="00AE0068" w:rsidRDefault="00AE0068" w:rsidP="00AE0068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  <w:r w:rsidRPr="00AE0068">
        <w:rPr>
          <w:rFonts w:ascii="BrandonTextW01-Light" w:hAnsi="BrandonTextW01-Light" w:cs="BrandonTextW01-Light"/>
          <w:sz w:val="21"/>
          <w:szCs w:val="21"/>
        </w:rPr>
        <w:t xml:space="preserve">La construcción del edificio ‘MAZARÍ’ ha supuesto para nuestro estudio la confirmación de que en el ámbito privado también es posible aplicar valores de COMPROMISO y respeto por la PROFESIÓN sin que la limitación de recursos (formales y económicos) menoscabasen la creación de lenguajes llenos de funcionalidad y belleza. </w:t>
      </w:r>
    </w:p>
    <w:p w:rsidR="00AE0068" w:rsidRPr="00AE0068" w:rsidRDefault="00AE0068" w:rsidP="00AE0068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  <w:r w:rsidRPr="00AE0068">
        <w:rPr>
          <w:rFonts w:ascii="BrandonTextW01-Light" w:hAnsi="BrandonTextW01-Light" w:cs="BrandonTextW01-Light"/>
          <w:sz w:val="21"/>
          <w:szCs w:val="21"/>
        </w:rPr>
        <w:t>Ha sido un reto intervenir en esta obra no sólo como Dirección Técnica sino también como Jefatura de Obra en la coordinación de los oficios que han intervenido y para los que ha sido fundamental comprender que sin su implicación y saber hacer era imposible el éxito. Se ha recurrido a materiales de cercanía, duraderos y sencillos, pero capaces de conectar con las referencias emocionales de un barrio en acelerado cambio.</w:t>
      </w:r>
    </w:p>
    <w:p w:rsidR="00AE0068" w:rsidRPr="00AE0068" w:rsidRDefault="00AE0068" w:rsidP="00AE0068">
      <w:pPr>
        <w:autoSpaceDE w:val="0"/>
        <w:autoSpaceDN w:val="0"/>
        <w:adjustRightInd w:val="0"/>
        <w:spacing w:after="0" w:line="240" w:lineRule="auto"/>
        <w:jc w:val="both"/>
        <w:rPr>
          <w:rFonts w:ascii="BrandonTextW01-Light" w:hAnsi="BrandonTextW01-Light" w:cs="BrandonTextW01-Light"/>
          <w:sz w:val="21"/>
          <w:szCs w:val="21"/>
        </w:rPr>
      </w:pPr>
      <w:r w:rsidRPr="00AE0068">
        <w:rPr>
          <w:rFonts w:ascii="BrandonTextW01-Light" w:hAnsi="BrandonTextW01-Light" w:cs="BrandonTextW01-Light"/>
          <w:sz w:val="21"/>
          <w:szCs w:val="21"/>
        </w:rPr>
        <w:t>Como resultado se ha obtenido un edificio digno, singular sin resultar arrogante, honesto y capaz de aportar calidad urbana y habitacional a un entorno degradado en el que el desprecio por la arquitectura popular vernácula ha sido desgraciadamente la norma</w:t>
      </w:r>
    </w:p>
    <w:p w:rsidR="00AE0068" w:rsidRPr="00AE0068" w:rsidRDefault="00AE0068" w:rsidP="00F12785">
      <w:pPr>
        <w:autoSpaceDE w:val="0"/>
        <w:autoSpaceDN w:val="0"/>
        <w:adjustRightInd w:val="0"/>
        <w:spacing w:after="0" w:line="240" w:lineRule="auto"/>
        <w:jc w:val="both"/>
      </w:pPr>
    </w:p>
    <w:sectPr w:rsidR="00AE0068" w:rsidRPr="00AE0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TextW01-Light">
    <w:panose1 w:val="020B030302020306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54A75"/>
    <w:multiLevelType w:val="hybridMultilevel"/>
    <w:tmpl w:val="BD20FBBE"/>
    <w:lvl w:ilvl="0" w:tplc="643CB9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85"/>
    <w:rsid w:val="004B668C"/>
    <w:rsid w:val="00883B71"/>
    <w:rsid w:val="00AE0068"/>
    <w:rsid w:val="00C348DF"/>
    <w:rsid w:val="00C9373D"/>
    <w:rsid w:val="00DB2037"/>
    <w:rsid w:val="00F1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59FE-0D46-4FE2-B541-56827527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2</cp:revision>
  <dcterms:created xsi:type="dcterms:W3CDTF">2025-06-06T10:19:00Z</dcterms:created>
  <dcterms:modified xsi:type="dcterms:W3CDTF">2025-06-06T10:19:00Z</dcterms:modified>
</cp:coreProperties>
</file>