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D3C6" w14:textId="68E71C1D" w:rsidR="00DB4959" w:rsidRPr="00A05A52" w:rsidRDefault="00DB4959" w:rsidP="00DB4959">
      <w:pPr>
        <w:rPr>
          <w:rFonts w:ascii="Century Gothic" w:hAnsi="Century Gothic"/>
          <w:b/>
          <w:bCs/>
          <w:sz w:val="28"/>
          <w:szCs w:val="28"/>
        </w:rPr>
      </w:pPr>
      <w:r>
        <w:rPr>
          <w:rFonts w:ascii="Century Gothic" w:hAnsi="Century Gothic"/>
          <w:b/>
          <w:bCs/>
          <w:sz w:val="28"/>
          <w:szCs w:val="28"/>
        </w:rPr>
        <w:t>NUEVO EDIFICIO DE POSTGRADOS DE LA UNIVERSIDAD ABAT OLIBA CEU DE BARCELONA</w:t>
      </w:r>
    </w:p>
    <w:p w14:paraId="2A06194A" w14:textId="77777777" w:rsidR="00DB4959" w:rsidRPr="00A05A52" w:rsidRDefault="00DB4959" w:rsidP="00DB4959">
      <w:pPr>
        <w:rPr>
          <w:rFonts w:ascii="Century Gothic" w:hAnsi="Century Gothic"/>
        </w:rPr>
      </w:pPr>
      <w:r w:rsidRPr="00A05A52">
        <w:rPr>
          <w:rFonts w:ascii="Century Gothic" w:hAnsi="Century Gothic"/>
        </w:rPr>
        <w:t>(Edificios para la Educación)</w:t>
      </w:r>
    </w:p>
    <w:p w14:paraId="213D1F05" w14:textId="160A63B6" w:rsidR="00776620" w:rsidRDefault="00DB4959">
      <w:pPr>
        <w:rPr>
          <w:rFonts w:ascii="Century Gothic" w:hAnsi="Century Gothic"/>
        </w:rPr>
      </w:pPr>
      <w:r w:rsidRPr="00A05A52">
        <w:rPr>
          <w:rFonts w:ascii="Century Gothic" w:hAnsi="Century Gothic"/>
        </w:rPr>
        <w:t xml:space="preserve">Gabriel Verd + buró4 + </w:t>
      </w:r>
      <w:r>
        <w:rPr>
          <w:rFonts w:ascii="Century Gothic" w:hAnsi="Century Gothic"/>
        </w:rPr>
        <w:t>Llongueras-Clotet</w:t>
      </w:r>
    </w:p>
    <w:p w14:paraId="3D39F043" w14:textId="77777777" w:rsidR="00DB4959" w:rsidRPr="00DB4959" w:rsidRDefault="00DB4959">
      <w:pPr>
        <w:rPr>
          <w:rFonts w:ascii="Century Gothic" w:hAnsi="Century Gothic"/>
        </w:rPr>
      </w:pPr>
    </w:p>
    <w:p w14:paraId="418DD303" w14:textId="5B9CE97E" w:rsidR="00DB4959" w:rsidRPr="00DB4959" w:rsidRDefault="00DB4959">
      <w:pPr>
        <w:rPr>
          <w:rFonts w:ascii="Century Gothic" w:hAnsi="Century Gothic"/>
          <w:b/>
          <w:bCs/>
        </w:rPr>
      </w:pPr>
      <w:r w:rsidRPr="00DB4959">
        <w:rPr>
          <w:rFonts w:ascii="Century Gothic" w:hAnsi="Century Gothic"/>
          <w:b/>
          <w:bCs/>
        </w:rPr>
        <w:t>Antecedentes</w:t>
      </w:r>
    </w:p>
    <w:p w14:paraId="2EB8AC5D" w14:textId="3D096EC5" w:rsidR="00DB4959" w:rsidRPr="00DB4959" w:rsidRDefault="00DB4959">
      <w:pPr>
        <w:rPr>
          <w:rFonts w:ascii="Century Gothic" w:hAnsi="Century Gothic"/>
        </w:rPr>
      </w:pPr>
      <w:r w:rsidRPr="00DB4959">
        <w:rPr>
          <w:rFonts w:ascii="Century Gothic" w:hAnsi="Century Gothic"/>
        </w:rPr>
        <w:t>La Universidad Abat Oliba, en el Campus de Bellesguard, necesitaba expandirse por la creciente demanda de postgrados. Este espacio en Barcelona, junto al Palacio de Bellesguard, ofrece vistas privilegiadas de la ciudad y el Mediterráneo.</w:t>
      </w:r>
    </w:p>
    <w:p w14:paraId="4882B35B" w14:textId="50A49C5A" w:rsidR="00DB4959" w:rsidRPr="00DB4959" w:rsidRDefault="00DB4959">
      <w:pPr>
        <w:rPr>
          <w:rFonts w:ascii="Century Gothic" w:hAnsi="Century Gothic"/>
          <w:b/>
          <w:bCs/>
        </w:rPr>
      </w:pPr>
      <w:r w:rsidRPr="00DB4959">
        <w:rPr>
          <w:rFonts w:ascii="Century Gothic" w:hAnsi="Century Gothic"/>
          <w:b/>
          <w:bCs/>
        </w:rPr>
        <w:t>Contexto</w:t>
      </w:r>
    </w:p>
    <w:p w14:paraId="0C953A4C" w14:textId="2DEB4EF7" w:rsidR="00DB4959" w:rsidRPr="00DB4959" w:rsidRDefault="00DB4959">
      <w:pPr>
        <w:rPr>
          <w:rFonts w:ascii="Century Gothic" w:hAnsi="Century Gothic"/>
        </w:rPr>
      </w:pPr>
      <w:r w:rsidRPr="00DB4959">
        <w:rPr>
          <w:rFonts w:ascii="Century Gothic" w:hAnsi="Century Gothic"/>
        </w:rPr>
        <w:t>El proyecto responde a esta necesidad con un edificio anexo que respeta el contexto histórico y arquitectónico. El campus incluye el antiguo convento del Redentor, diseñado por Bernardí Martorell en los años 20, y su ampliación de 1995, obra de Miquel Àngel Armengou. Además, colinda con el Palacio de Bellesguard, obra clave de Antoni Gaudí (1900-1909), un emblema del modernismo catalán.</w:t>
      </w:r>
    </w:p>
    <w:p w14:paraId="58D5470F" w14:textId="6FF21914" w:rsidR="00DB4959" w:rsidRPr="00DB4959" w:rsidRDefault="00DB4959">
      <w:pPr>
        <w:rPr>
          <w:rFonts w:ascii="Century Gothic" w:hAnsi="Century Gothic"/>
          <w:b/>
          <w:bCs/>
        </w:rPr>
      </w:pPr>
      <w:r w:rsidRPr="00DB4959">
        <w:rPr>
          <w:rFonts w:ascii="Century Gothic" w:hAnsi="Century Gothic"/>
          <w:b/>
          <w:bCs/>
        </w:rPr>
        <w:t>Proyecto</w:t>
      </w:r>
    </w:p>
    <w:p w14:paraId="7790C50F" w14:textId="77777777" w:rsidR="00DB4959" w:rsidRPr="00DB4959" w:rsidRDefault="00DB4959" w:rsidP="00DB4959">
      <w:pPr>
        <w:rPr>
          <w:rFonts w:ascii="Century Gothic" w:hAnsi="Century Gothic"/>
        </w:rPr>
      </w:pPr>
      <w:r w:rsidRPr="00DB4959">
        <w:rPr>
          <w:rFonts w:ascii="Century Gothic" w:hAnsi="Century Gothic"/>
        </w:rPr>
        <w:t>El nuevo aulario busca integrarse respetuosamente, destacando el valor patrimonial del entorno. Su diseño prismático y monocromático actúa como un telón neutral que resalta la Torre Bellesguard. La fachada, con chapa microperforada y plegada, crea un juego de sombras y reflejos, logrando un efecto liviano y etéreo, contrastado por un zócalo pétreo que aporta solidez. </w:t>
      </w:r>
    </w:p>
    <w:p w14:paraId="07E4CD82" w14:textId="77777777" w:rsidR="00DB4959" w:rsidRPr="00DB4959" w:rsidRDefault="00DB4959" w:rsidP="00DB4959">
      <w:pPr>
        <w:rPr>
          <w:rFonts w:ascii="Century Gothic" w:hAnsi="Century Gothic"/>
        </w:rPr>
      </w:pPr>
      <w:r w:rsidRPr="00DB4959">
        <w:rPr>
          <w:rFonts w:ascii="Century Gothic" w:hAnsi="Century Gothic"/>
        </w:rPr>
        <w:t>Los nuevos jardines de acceso, fruto de la demolición de antiguas edificaciones, realzan la Torre de Gaudí y dejan visible una muralla histórica, devolviendo al lugar su legado. Además, la urbanización expone vestigios del Palacio de Martí l’Humà (1396-1410), confluyendo elementos medievales, modernistas y contemporáneos. </w:t>
      </w:r>
    </w:p>
    <w:p w14:paraId="6FACADD8" w14:textId="77777777" w:rsidR="00DB4959" w:rsidRPr="00DB4959" w:rsidRDefault="00DB4959" w:rsidP="00DB4959">
      <w:pPr>
        <w:rPr>
          <w:rFonts w:ascii="Century Gothic" w:hAnsi="Century Gothic"/>
        </w:rPr>
      </w:pPr>
      <w:r w:rsidRPr="00DB4959">
        <w:rPr>
          <w:rFonts w:ascii="Century Gothic" w:hAnsi="Century Gothic"/>
        </w:rPr>
        <w:t>La planta del edificio sigue el Plan Especial: aulas de mayor capacidad en planta baja (aula magna), aulas pequeñas en el primer nivel, y espacios de encuentro y una terraza en la segunda. El sótano 1 aloja áreas administrativas y aulas pequeñas, mientras que los sótanos inferiores ofrecen aparcamiento, ampliando la superficie de las plantas superiores. </w:t>
      </w:r>
    </w:p>
    <w:p w14:paraId="0EF84617" w14:textId="77777777" w:rsidR="00DB4959" w:rsidRDefault="00DB4959"/>
    <w:sectPr w:rsidR="00DB49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20"/>
    <w:rsid w:val="00776620"/>
    <w:rsid w:val="00857C23"/>
    <w:rsid w:val="00DB4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6298"/>
  <w15:chartTrackingRefBased/>
  <w15:docId w15:val="{C973E7F5-4DF6-4978-AFCC-9ED854B5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959"/>
    <w:rPr>
      <w:lang w:val="es-ES"/>
    </w:rPr>
  </w:style>
  <w:style w:type="paragraph" w:styleId="Heading1">
    <w:name w:val="heading 1"/>
    <w:basedOn w:val="Normal"/>
    <w:next w:val="Normal"/>
    <w:link w:val="Heading1Char"/>
    <w:uiPriority w:val="9"/>
    <w:qFormat/>
    <w:rsid w:val="00776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620"/>
    <w:rPr>
      <w:rFonts w:eastAsiaTheme="majorEastAsia" w:cstheme="majorBidi"/>
      <w:color w:val="272727" w:themeColor="text1" w:themeTint="D8"/>
    </w:rPr>
  </w:style>
  <w:style w:type="paragraph" w:styleId="Title">
    <w:name w:val="Title"/>
    <w:basedOn w:val="Normal"/>
    <w:next w:val="Normal"/>
    <w:link w:val="TitleChar"/>
    <w:uiPriority w:val="10"/>
    <w:qFormat/>
    <w:rsid w:val="00776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620"/>
    <w:pPr>
      <w:spacing w:before="160"/>
      <w:jc w:val="center"/>
    </w:pPr>
    <w:rPr>
      <w:i/>
      <w:iCs/>
      <w:color w:val="404040" w:themeColor="text1" w:themeTint="BF"/>
    </w:rPr>
  </w:style>
  <w:style w:type="character" w:customStyle="1" w:styleId="QuoteChar">
    <w:name w:val="Quote Char"/>
    <w:basedOn w:val="DefaultParagraphFont"/>
    <w:link w:val="Quote"/>
    <w:uiPriority w:val="29"/>
    <w:rsid w:val="00776620"/>
    <w:rPr>
      <w:i/>
      <w:iCs/>
      <w:color w:val="404040" w:themeColor="text1" w:themeTint="BF"/>
    </w:rPr>
  </w:style>
  <w:style w:type="paragraph" w:styleId="ListParagraph">
    <w:name w:val="List Paragraph"/>
    <w:basedOn w:val="Normal"/>
    <w:uiPriority w:val="34"/>
    <w:qFormat/>
    <w:rsid w:val="00776620"/>
    <w:pPr>
      <w:ind w:left="720"/>
      <w:contextualSpacing/>
    </w:pPr>
  </w:style>
  <w:style w:type="character" w:styleId="IntenseEmphasis">
    <w:name w:val="Intense Emphasis"/>
    <w:basedOn w:val="DefaultParagraphFont"/>
    <w:uiPriority w:val="21"/>
    <w:qFormat/>
    <w:rsid w:val="00776620"/>
    <w:rPr>
      <w:i/>
      <w:iCs/>
      <w:color w:val="0F4761" w:themeColor="accent1" w:themeShade="BF"/>
    </w:rPr>
  </w:style>
  <w:style w:type="paragraph" w:styleId="IntenseQuote">
    <w:name w:val="Intense Quote"/>
    <w:basedOn w:val="Normal"/>
    <w:next w:val="Normal"/>
    <w:link w:val="IntenseQuoteChar"/>
    <w:uiPriority w:val="30"/>
    <w:qFormat/>
    <w:rsid w:val="00776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620"/>
    <w:rPr>
      <w:i/>
      <w:iCs/>
      <w:color w:val="0F4761" w:themeColor="accent1" w:themeShade="BF"/>
    </w:rPr>
  </w:style>
  <w:style w:type="character" w:styleId="IntenseReference">
    <w:name w:val="Intense Reference"/>
    <w:basedOn w:val="DefaultParagraphFont"/>
    <w:uiPriority w:val="32"/>
    <w:qFormat/>
    <w:rsid w:val="007766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8280">
      <w:bodyDiv w:val="1"/>
      <w:marLeft w:val="0"/>
      <w:marRight w:val="0"/>
      <w:marTop w:val="0"/>
      <w:marBottom w:val="0"/>
      <w:divBdr>
        <w:top w:val="none" w:sz="0" w:space="0" w:color="auto"/>
        <w:left w:val="none" w:sz="0" w:space="0" w:color="auto"/>
        <w:bottom w:val="none" w:sz="0" w:space="0" w:color="auto"/>
        <w:right w:val="none" w:sz="0" w:space="0" w:color="auto"/>
      </w:divBdr>
      <w:divsChild>
        <w:div w:id="1614707753">
          <w:marLeft w:val="0"/>
          <w:marRight w:val="0"/>
          <w:marTop w:val="0"/>
          <w:marBottom w:val="0"/>
          <w:divBdr>
            <w:top w:val="none" w:sz="0" w:space="0" w:color="auto"/>
            <w:left w:val="none" w:sz="0" w:space="0" w:color="auto"/>
            <w:bottom w:val="none" w:sz="0" w:space="0" w:color="auto"/>
            <w:right w:val="none" w:sz="0" w:space="0" w:color="auto"/>
          </w:divBdr>
        </w:div>
        <w:div w:id="1841962038">
          <w:marLeft w:val="0"/>
          <w:marRight w:val="0"/>
          <w:marTop w:val="0"/>
          <w:marBottom w:val="0"/>
          <w:divBdr>
            <w:top w:val="none" w:sz="0" w:space="0" w:color="auto"/>
            <w:left w:val="none" w:sz="0" w:space="0" w:color="auto"/>
            <w:bottom w:val="none" w:sz="0" w:space="0" w:color="auto"/>
            <w:right w:val="none" w:sz="0" w:space="0" w:color="auto"/>
          </w:divBdr>
        </w:div>
        <w:div w:id="1604342530">
          <w:marLeft w:val="0"/>
          <w:marRight w:val="0"/>
          <w:marTop w:val="0"/>
          <w:marBottom w:val="0"/>
          <w:divBdr>
            <w:top w:val="none" w:sz="0" w:space="0" w:color="auto"/>
            <w:left w:val="none" w:sz="0" w:space="0" w:color="auto"/>
            <w:bottom w:val="none" w:sz="0" w:space="0" w:color="auto"/>
            <w:right w:val="none" w:sz="0" w:space="0" w:color="auto"/>
          </w:divBdr>
        </w:div>
      </w:divsChild>
    </w:div>
    <w:div w:id="1379358605">
      <w:bodyDiv w:val="1"/>
      <w:marLeft w:val="0"/>
      <w:marRight w:val="0"/>
      <w:marTop w:val="0"/>
      <w:marBottom w:val="0"/>
      <w:divBdr>
        <w:top w:val="none" w:sz="0" w:space="0" w:color="auto"/>
        <w:left w:val="none" w:sz="0" w:space="0" w:color="auto"/>
        <w:bottom w:val="none" w:sz="0" w:space="0" w:color="auto"/>
        <w:right w:val="none" w:sz="0" w:space="0" w:color="auto"/>
      </w:divBdr>
      <w:divsChild>
        <w:div w:id="251162444">
          <w:marLeft w:val="0"/>
          <w:marRight w:val="0"/>
          <w:marTop w:val="0"/>
          <w:marBottom w:val="0"/>
          <w:divBdr>
            <w:top w:val="none" w:sz="0" w:space="0" w:color="auto"/>
            <w:left w:val="none" w:sz="0" w:space="0" w:color="auto"/>
            <w:bottom w:val="none" w:sz="0" w:space="0" w:color="auto"/>
            <w:right w:val="none" w:sz="0" w:space="0" w:color="auto"/>
          </w:divBdr>
        </w:div>
        <w:div w:id="1926722858">
          <w:marLeft w:val="0"/>
          <w:marRight w:val="0"/>
          <w:marTop w:val="0"/>
          <w:marBottom w:val="0"/>
          <w:divBdr>
            <w:top w:val="none" w:sz="0" w:space="0" w:color="auto"/>
            <w:left w:val="none" w:sz="0" w:space="0" w:color="auto"/>
            <w:bottom w:val="none" w:sz="0" w:space="0" w:color="auto"/>
            <w:right w:val="none" w:sz="0" w:space="0" w:color="auto"/>
          </w:divBdr>
        </w:div>
        <w:div w:id="141655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Wagner</dc:creator>
  <cp:keywords/>
  <dc:description/>
  <cp:lastModifiedBy>Eva Wagner</cp:lastModifiedBy>
  <cp:revision>2</cp:revision>
  <dcterms:created xsi:type="dcterms:W3CDTF">2025-06-03T07:33:00Z</dcterms:created>
  <dcterms:modified xsi:type="dcterms:W3CDTF">2025-06-03T07:38:00Z</dcterms:modified>
</cp:coreProperties>
</file>